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ROSAC0053ZPB</w:t>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Dealul Allah Bair</w:t>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164,08</w:t>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84,81%</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Constanța</w:t>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A">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F">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100%</w:t>
            </w:r>
          </w:p>
        </w:tc>
        <w:tc>
          <w:tcPr/>
          <w:p w:rsidR="00000000" w:rsidDel="00000000" w:rsidP="00000000" w:rsidRDefault="00000000" w:rsidRPr="00000000" w14:paraId="00000060">
            <w:pPr>
              <w:rPr>
                <w:sz w:val="22"/>
                <w:szCs w:val="22"/>
              </w:rPr>
            </w:pPr>
            <w:r w:rsidDel="00000000" w:rsidR="00000000" w:rsidRPr="00000000">
              <w:rPr>
                <w:rtl w:val="0"/>
              </w:rPr>
            </w:r>
          </w:p>
        </w:tc>
        <w:tc>
          <w:tcPr/>
          <w:p w:rsidR="00000000" w:rsidDel="00000000" w:rsidP="00000000" w:rsidRDefault="00000000" w:rsidRPr="00000000" w14:paraId="00000061">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p>
        </w:tc>
        <w:tc>
          <w:tcPr/>
          <w:p w:rsidR="00000000" w:rsidDel="00000000" w:rsidP="00000000" w:rsidRDefault="00000000" w:rsidRPr="00000000" w14:paraId="00000062">
            <w:pPr>
              <w:rPr>
                <w:sz w:val="22"/>
                <w:szCs w:val="22"/>
              </w:rPr>
            </w:pPr>
            <w:r w:rsidDel="00000000" w:rsidR="00000000" w:rsidRPr="00000000">
              <w:rPr>
                <w:rtl w:val="0"/>
              </w:rPr>
            </w:r>
          </w:p>
        </w:tc>
        <w:tc>
          <w:tcPr/>
          <w:p w:rsidR="00000000" w:rsidDel="00000000" w:rsidP="00000000" w:rsidRDefault="00000000" w:rsidRPr="00000000" w14:paraId="00000063">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b w:val="1"/>
          <w:bCs w:val="1"/>
          <w:sz w:val="22"/>
          <w:szCs w:val="22"/>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9">
      <w:pPr>
        <w:rPr>
          <w:b w:val="1"/>
          <w:bCs w:val="1"/>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E">
      <w:pPr>
        <w:rPr>
          <w:b w:val="1"/>
          <w:bCs w:val="1"/>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164,08</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tabs>
          <w:tab w:val="left" w:leader="none" w:pos="993"/>
        </w:tabs>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RONPA0384 Allah Bair.</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tabs>
          <w:tab w:val="left" w:leader="none" w:pos="993"/>
        </w:tabs>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tabs>
          <w:tab w:val="left" w:leader="none" w:pos="993"/>
        </w:tabs>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tabs>
          <w:tab w:val="left" w:leader="none" w:pos="993"/>
        </w:tabs>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62C0* Stepe ponto-sarmatice</w:t>
            </w:r>
          </w:p>
          <w:p w:rsidR="00000000" w:rsidDel="00000000" w:rsidP="00000000" w:rsidRDefault="00000000" w:rsidRPr="00000000" w14:paraId="0000007F">
            <w:pPr>
              <w:spacing w:after="0" w:lineRule="auto"/>
              <w:jc w:val="both"/>
              <w:rPr/>
            </w:pPr>
            <w:r w:rsidDel="00000000" w:rsidR="00000000" w:rsidRPr="00000000">
              <w:rPr>
                <w:b w:val="1"/>
                <w:bCs w:val="1"/>
                <w:sz w:val="22"/>
                <w:szCs w:val="22"/>
                <w:rtl w:val="0"/>
              </w:rPr>
              <w:t xml:space="preserve">Ecosisteme forestiere: </w:t>
            </w:r>
            <w:r w:rsidDel="00000000" w:rsidR="00000000" w:rsidRPr="00000000">
              <w:rPr>
                <w:sz w:val="22"/>
                <w:szCs w:val="22"/>
                <w:rtl w:val="0"/>
              </w:rPr>
              <w:t xml:space="preserve">plantație de pin negru</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i w:val="1"/>
                <w:iCs w:val="1"/>
              </w:rPr>
            </w:pPr>
            <w:r w:rsidDel="00000000" w:rsidR="00000000" w:rsidRPr="00000000">
              <w:rPr>
                <w:i w:val="1"/>
                <w:iCs w:val="1"/>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jc w:val="both"/>
              <w:rPr>
                <w:b w:val="1"/>
                <w:bCs w:val="1"/>
                <w:sz w:val="22"/>
                <w:szCs w:val="22"/>
              </w:rPr>
            </w:pPr>
            <w:r w:rsidDel="00000000" w:rsidR="00000000" w:rsidRPr="00000000">
              <w:rPr>
                <w:b w:val="1"/>
                <w:bCs w:val="1"/>
                <w:sz w:val="22"/>
                <w:szCs w:val="22"/>
                <w:rtl w:val="0"/>
              </w:rPr>
              <w:t xml:space="preserve">Păsări: </w:t>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A238 </w:t>
            </w:r>
            <w:r w:rsidDel="00000000" w:rsidR="00000000" w:rsidRPr="00000000">
              <w:rPr>
                <w:i w:val="1"/>
                <w:iCs w:val="1"/>
                <w:sz w:val="22"/>
                <w:szCs w:val="22"/>
                <w:rtl w:val="0"/>
              </w:rPr>
              <w:t xml:space="preserve">Dendrocopos medius</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9">
            <w:pPr>
              <w:spacing w:after="0" w:lineRule="auto"/>
              <w:jc w:val="both"/>
              <w:rPr>
                <w:i w:val="1"/>
                <w:iCs w:val="1"/>
              </w:rPr>
            </w:pPr>
            <w:r w:rsidDel="00000000" w:rsidR="00000000" w:rsidRPr="00000000">
              <w:rPr>
                <w:i w:val="1"/>
                <w:iCs w:val="1"/>
                <w:sz w:val="22"/>
                <w:szCs w:val="22"/>
                <w:rtl w:val="0"/>
              </w:rPr>
              <w:t xml:space="preserve">A234 Picus canus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Zona Prioritară pentru Biodiversitate include habitate de tufărișuri cu valoare conservativă. Zona include suprafețe încadrate în categorii de protecție națională: rezervație naturală și arie Ramsar (zonă umedă de importanță internațională).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C">
            <w:pPr>
              <w:spacing w:after="0" w:line="240" w:lineRule="auto"/>
              <w:rPr>
                <w:sz w:val="22"/>
                <w:szCs w:val="22"/>
              </w:rPr>
            </w:pPr>
            <w:r w:rsidDel="00000000" w:rsidR="00000000" w:rsidRPr="00000000">
              <w:rPr>
                <w:rtl w:val="0"/>
              </w:rPr>
            </w:r>
          </w:p>
          <w:p w:rsidR="00000000" w:rsidDel="00000000" w:rsidP="00000000" w:rsidRDefault="00000000" w:rsidRPr="00000000" w14:paraId="0000008D">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habitatele de tufărișuri,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A04.01 Pășunatul intensiv</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J01.01 Incendii </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B02.01.02 Replantarea pădurii (arbori nenativi) </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93">
            <w:pPr>
              <w:rPr/>
            </w:pPr>
            <w:r w:rsidDel="00000000" w:rsidR="00000000" w:rsidRPr="00000000">
              <w:rPr>
                <w:sz w:val="22"/>
                <w:szCs w:val="22"/>
                <w:rtl w:val="0"/>
              </w:rPr>
              <w:t xml:space="preserve">H05.01 Gunoiul şi deşeurile solide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1">
            <w:pPr>
              <w:spacing w:after="0" w:line="276"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1">
            <w:pPr>
              <w:spacing w:after="0" w:line="276"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2">
            <w:pPr>
              <w:spacing w:after="0" w:line="276" w:lineRule="auto"/>
              <w:jc w:val="both"/>
              <w:rPr>
                <w:color w:val="000000"/>
                <w:sz w:val="22"/>
                <w:szCs w:val="22"/>
              </w:rPr>
            </w:pPr>
            <w:r w:rsidDel="00000000" w:rsidR="00000000" w:rsidRPr="00000000">
              <w:rPr>
                <w:rtl w:val="0"/>
              </w:rPr>
            </w:r>
          </w:p>
          <w:p w:rsidR="00000000" w:rsidDel="00000000" w:rsidP="00000000" w:rsidRDefault="00000000" w:rsidRPr="00000000" w14:paraId="000000B3">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B4">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5">
            <w:pPr>
              <w:spacing w:after="0"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6">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7">
            <w:pPr>
              <w:spacing w:after="0"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8">
            <w:pPr>
              <w:spacing w:after="0"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9">
            <w:pPr>
              <w:spacing w:after="0" w:line="276"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BA">
            <w:pPr>
              <w:spacing w:after="0"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B">
            <w:pPr>
              <w:spacing w:after="0"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C">
            <w:pPr>
              <w:spacing w:after="0"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D">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E">
            <w:pPr>
              <w:spacing w:after="0"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F">
            <w:pPr>
              <w:spacing w:after="0"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C0">
            <w:pPr>
              <w:spacing w:after="0" w:line="276" w:lineRule="auto"/>
              <w:jc w:val="both"/>
              <w:rPr>
                <w:sz w:val="22"/>
                <w:szCs w:val="22"/>
              </w:rPr>
            </w:pPr>
            <w:r w:rsidDel="00000000" w:rsidR="00000000" w:rsidRPr="00000000">
              <w:rPr>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0C1">
            <w:pPr>
              <w:spacing w:after="0" w:line="276" w:lineRule="auto"/>
              <w:jc w:val="both"/>
              <w:rPr>
                <w:sz w:val="22"/>
                <w:szCs w:val="22"/>
              </w:rPr>
            </w:pPr>
            <w:r w:rsidDel="00000000" w:rsidR="00000000" w:rsidRPr="00000000">
              <w:rPr>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0C2">
            <w:pPr>
              <w:spacing w:after="0" w:line="276" w:lineRule="auto"/>
              <w:jc w:val="both"/>
              <w:rPr>
                <w:sz w:val="22"/>
                <w:szCs w:val="22"/>
              </w:rPr>
            </w:pPr>
            <w:r w:rsidDel="00000000" w:rsidR="00000000" w:rsidRPr="00000000">
              <w:rPr>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C3">
            <w:pPr>
              <w:spacing w:after="0" w:line="276" w:lineRule="auto"/>
              <w:jc w:val="both"/>
              <w:rPr>
                <w:sz w:val="22"/>
                <w:szCs w:val="22"/>
              </w:rPr>
            </w:pPr>
            <w:r w:rsidDel="00000000" w:rsidR="00000000" w:rsidRPr="00000000">
              <w:rPr>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4">
            <w:pPr>
              <w:spacing w:after="0" w:line="276" w:lineRule="auto"/>
              <w:jc w:val="both"/>
              <w:rPr>
                <w:sz w:val="22"/>
                <w:szCs w:val="22"/>
              </w:rPr>
            </w:pPr>
            <w:r w:rsidDel="00000000" w:rsidR="00000000" w:rsidRPr="00000000">
              <w:rPr>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5">
            <w:pPr>
              <w:spacing w:after="0" w:line="276" w:lineRule="auto"/>
              <w:jc w:val="both"/>
              <w:rPr>
                <w:sz w:val="22"/>
                <w:szCs w:val="22"/>
              </w:rPr>
            </w:pPr>
            <w:r w:rsidDel="00000000" w:rsidR="00000000" w:rsidRPr="00000000">
              <w:rPr>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6">
            <w:pPr>
              <w:spacing w:after="0" w:line="276" w:lineRule="auto"/>
              <w:jc w:val="both"/>
              <w:rPr>
                <w:sz w:val="22"/>
                <w:szCs w:val="22"/>
              </w:rPr>
            </w:pPr>
            <w:r w:rsidDel="00000000" w:rsidR="00000000" w:rsidRPr="00000000">
              <w:rPr>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7">
            <w:pPr>
              <w:spacing w:after="0" w:line="276" w:lineRule="auto"/>
              <w:jc w:val="both"/>
              <w:rPr>
                <w:sz w:val="22"/>
                <w:szCs w:val="22"/>
              </w:rPr>
            </w:pPr>
            <w:r w:rsidDel="00000000" w:rsidR="00000000" w:rsidRPr="00000000">
              <w:rPr>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0C8">
            <w:pPr>
              <w:spacing w:after="0" w:line="276" w:lineRule="auto"/>
              <w:jc w:val="both"/>
              <w:rPr>
                <w:sz w:val="22"/>
                <w:szCs w:val="22"/>
              </w:rPr>
            </w:pPr>
            <w:r w:rsidDel="00000000" w:rsidR="00000000" w:rsidRPr="00000000">
              <w:rPr>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0C9">
            <w:pPr>
              <w:spacing w:after="0" w:line="276" w:lineRule="auto"/>
              <w:jc w:val="both"/>
              <w:rPr>
                <w:sz w:val="22"/>
                <w:szCs w:val="22"/>
              </w:rPr>
            </w:pPr>
            <w:r w:rsidDel="00000000" w:rsidR="00000000" w:rsidRPr="00000000">
              <w:rPr>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0CA">
            <w:pPr>
              <w:spacing w:after="0" w:line="276" w:lineRule="auto"/>
              <w:jc w:val="both"/>
              <w:rPr>
                <w:sz w:val="22"/>
                <w:szCs w:val="22"/>
              </w:rPr>
            </w:pPr>
            <w:r w:rsidDel="00000000" w:rsidR="00000000" w:rsidRPr="00000000">
              <w:rPr>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B">
            <w:pPr>
              <w:spacing w:after="0" w:line="276" w:lineRule="auto"/>
              <w:jc w:val="both"/>
              <w:rPr>
                <w:sz w:val="22"/>
                <w:szCs w:val="22"/>
              </w:rPr>
            </w:pPr>
            <w:r w:rsidDel="00000000" w:rsidR="00000000" w:rsidRPr="00000000">
              <w:rPr>
                <w:sz w:val="22"/>
                <w:szCs w:val="22"/>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CC">
            <w:pPr>
              <w:spacing w:after="0" w:line="276" w:lineRule="auto"/>
              <w:jc w:val="both"/>
              <w:rPr>
                <w:sz w:val="22"/>
                <w:szCs w:val="22"/>
              </w:rPr>
            </w:pPr>
            <w:r w:rsidDel="00000000" w:rsidR="00000000" w:rsidRPr="00000000">
              <w:rPr>
                <w:sz w:val="22"/>
                <w:szCs w:val="22"/>
                <w:rtl w:val="0"/>
              </w:rPr>
              <w:t xml:space="preserve">17. Activitățile turistice și recreative se desfășoară fără afectarea habitatelor și a speciilor de interes conservativ.</w:t>
            </w:r>
          </w:p>
          <w:p w:rsidR="00000000" w:rsidDel="00000000" w:rsidP="00000000" w:rsidRDefault="00000000" w:rsidRPr="00000000" w14:paraId="000000CD">
            <w:pPr>
              <w:spacing w:after="0" w:line="276" w:lineRule="auto"/>
              <w:jc w:val="both"/>
              <w:rPr>
                <w:color w:val="ee0000"/>
                <w:sz w:val="22"/>
                <w:szCs w:val="22"/>
              </w:rPr>
            </w:pPr>
            <w:r w:rsidDel="00000000" w:rsidR="00000000" w:rsidRPr="00000000">
              <w:rPr>
                <w:sz w:val="22"/>
                <w:szCs w:val="22"/>
                <w:rtl w:val="0"/>
              </w:rPr>
              <w:t xml:space="preserve">18. Se monitorizează periodic starea habitatelor, utilizarea terenurilor, prezența speciilor invazive și efectele managementului, iar măsurile de conservare se adaptează în funcție de rezultatele monitorizării.</w:t>
            </w:r>
            <w:r w:rsidDel="00000000" w:rsidR="00000000" w:rsidRPr="00000000">
              <w:rPr>
                <w:rtl w:val="0"/>
              </w:rPr>
            </w:r>
          </w:p>
          <w:p w:rsidR="00000000" w:rsidDel="00000000" w:rsidP="00000000" w:rsidRDefault="00000000" w:rsidRPr="00000000" w14:paraId="000000CD">
            <w:pPr>
              <w:spacing w:after="0" w:line="276" w:lineRule="auto"/>
              <w:jc w:val="both"/>
              <w:rPr>
                <w:color w:val="ee0000"/>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Doniță, N., Popescu, A., Paucă–Comănescu M., Mihăilescu, S., Biriș, I.-A. (2005-2006). Habitatele din România, București: Editura Tehnică Silvică.</w:t>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Mountford, O. coord. (2008). Manual de interpretare a habitatelor Natura 2000 din România, Cluj-Napoca: Editura Risoprint.</w:t>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Ornitodata - Baza de date online a Societății Ornitologice Române, 202</w:t>
      </w:r>
      <w:r w:rsidDel="00000000" w:rsidR="00000000" w:rsidRPr="00000000">
        <w:rPr>
          <w:sz w:val="22"/>
          <w:szCs w:val="22"/>
          <w:rtl w:val="0"/>
        </w:rPr>
        <w:t xml:space="preserve">4</w:t>
      </w:r>
      <w:r w:rsidDel="00000000" w:rsidR="00000000" w:rsidRPr="00000000">
        <w:rPr>
          <w:rtl w:val="0"/>
        </w:rPr>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bookmarkStart w:colFirst="0" w:colLast="0" w:name="_heading=h.vvosyhi48alk" w:id="0"/>
      <w:bookmarkEnd w:id="0"/>
      <w:r w:rsidDel="00000000" w:rsidR="00000000" w:rsidRPr="00000000">
        <w:rPr>
          <w:color w:val="000000"/>
          <w:sz w:val="22"/>
          <w:szCs w:val="22"/>
          <w:rtl w:val="0"/>
        </w:rPr>
        <w:t xml:space="preserve">Consultările publice au fost realizate: 4 februarie 2025 – Constanța, 2025 – corespondență electronică DS Constanța.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21 ianuarie 2026 cu participarea factorilor interesati relevanți din județul Constanța.</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D">
      <w:pPr>
        <w:rPr>
          <w:sz w:val="22"/>
          <w:szCs w:val="22"/>
        </w:rPr>
      </w:pPr>
      <w:bookmarkStart w:colFirst="0" w:colLast="0" w:name="_heading=h.e1px0whb6dec" w:id="1"/>
      <w:bookmarkEnd w:id="1"/>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E">
      <w:pPr>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vMrtHCvCeggyGdqMKshGUs1oGA==">CgMxLjAyDmgudnZvc3loaTQ4YWxrMg5oLmUxcHgwd2hiNmRlYzgAciExY2NBNzQxdFROdUJSNXZtZnU3cElWcUx3MFlCXzU4MkI=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